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0C" w:rsidRDefault="00F2070C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24"/>
          <w:szCs w:val="28"/>
        </w:rPr>
      </w:pPr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Приложение № 1 </w:t>
      </w:r>
    </w:p>
    <w:p w:rsidR="00F2070C" w:rsidRDefault="00F2070C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24"/>
          <w:szCs w:val="28"/>
        </w:rPr>
      </w:pPr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к решению Совета сельского поселения </w:t>
      </w:r>
      <w:r w:rsidR="00367554">
        <w:rPr>
          <w:rFonts w:ascii="Times New Roman" w:hAnsi="Times New Roman" w:cs="Times New Roman"/>
          <w:b w:val="0"/>
          <w:sz w:val="24"/>
          <w:szCs w:val="28"/>
        </w:rPr>
        <w:t>Кадыровский</w:t>
      </w:r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Илишевский район Республики </w:t>
      </w:r>
      <w:r w:rsidRPr="00367554">
        <w:rPr>
          <w:rFonts w:ascii="Times New Roman" w:hAnsi="Times New Roman" w:cs="Times New Roman"/>
          <w:b w:val="0"/>
          <w:sz w:val="24"/>
          <w:szCs w:val="28"/>
        </w:rPr>
        <w:t>Башкортостан</w:t>
      </w:r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C960CB" w:rsidRPr="00F2070C" w:rsidRDefault="00CF157B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32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14</w:t>
      </w:r>
      <w:bookmarkStart w:id="0" w:name="_GoBack"/>
      <w:bookmarkEnd w:id="0"/>
      <w:r w:rsidR="00F2070C" w:rsidRPr="00367554">
        <w:rPr>
          <w:rFonts w:ascii="Times New Roman" w:hAnsi="Times New Roman" w:cs="Times New Roman"/>
          <w:b w:val="0"/>
          <w:sz w:val="24"/>
          <w:szCs w:val="28"/>
        </w:rPr>
        <w:t>.10.2020 г. №</w:t>
      </w:r>
      <w:r w:rsidR="00367554">
        <w:rPr>
          <w:rFonts w:ascii="Times New Roman" w:hAnsi="Times New Roman" w:cs="Times New Roman"/>
          <w:b w:val="0"/>
          <w:sz w:val="24"/>
          <w:szCs w:val="28"/>
        </w:rPr>
        <w:t>14-4</w:t>
      </w: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B7E3B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П. </w:t>
      </w:r>
      <w:r w:rsidRPr="008D0D09">
        <w:rPr>
          <w:rFonts w:ascii="Times New Roman" w:eastAsia="Times New Roman" w:hAnsi="Times New Roman" w:cs="Times New Roman"/>
          <w:sz w:val="24"/>
        </w:rPr>
        <w:t>53.1.</w:t>
      </w:r>
      <w:r>
        <w:rPr>
          <w:rFonts w:ascii="Times New Roman" w:eastAsia="Times New Roman" w:hAnsi="Times New Roman" w:cs="Times New Roman"/>
          <w:sz w:val="24"/>
        </w:rPr>
        <w:t xml:space="preserve"> ст. 53  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 состав жилых зон включены:</w:t>
      </w:r>
    </w:p>
    <w:p w:rsidR="00A27BBD" w:rsidRPr="008D0D09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1.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</w:t>
      </w:r>
      <w:r w:rsidRPr="008D0D0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«1. Назначение жилых зон: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22F60">
        <w:rPr>
          <w:rFonts w:ascii="Times New Roman" w:eastAsia="Times New Roman" w:hAnsi="Times New Roman" w:cs="Times New Roman"/>
          <w:b/>
          <w:sz w:val="24"/>
        </w:rPr>
        <w:t>3)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A27BBD" w:rsidRPr="00922F60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Pr="003D57BA"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 «</w:t>
      </w:r>
      <w:r w:rsidRPr="00922F60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видов разрешенного 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 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>. Градостроительные регламенты жилых зон в части видов разрешенного 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7BBD" w:rsidRPr="00F84DB9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«Ж-1»:</w:t>
      </w:r>
    </w:p>
    <w:p w:rsidR="00A27BBD" w:rsidRDefault="00A27BBD" w:rsidP="00A27BBD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</w:t>
      </w:r>
      <w:r w:rsidRPr="00D40D33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в жилых зонах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5772"/>
        <w:gridCol w:w="1948"/>
      </w:tblGrid>
      <w:tr w:rsidR="00A27BBD" w:rsidRPr="00CA3C07" w:rsidTr="002A77DA">
        <w:tc>
          <w:tcPr>
            <w:tcW w:w="2350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72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48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Для индивидуального жилищного строительства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1" w:name="Par123"/>
            <w:bookmarkEnd w:id="1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Для ведения личного подсобного хозяйства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производство сельскохозяйственной продукции;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гаража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содержание сельскохозяйственных животных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Блокированная жилая застройка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разведение декоративных и плодовых деревьев, овощей и ягодных культур;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гаражей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2.3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Передвижное жилье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Объекты гаражного назначения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2.7.1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Водные объекты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11.0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Общее пользование водными объектами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12.0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огородничества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выращивания сельскохозяйственной продукции</w:t>
            </w:r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садоводства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садового дома, предназначенного для отдыха и не подлежащего разделу на квартиры; размещение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хозяйственных строений и сооружений</w:t>
            </w:r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13.2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Обслуживание жилой застройки 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недвижимости, размещение которых предусмотрено видами разрешенного использования с кодами 3.1, 3.2, 3.3, 3.4, 3.4.1, 3.5.1, 3.6, 3.7, 3.10.1, 4.1, 4.3, 4.4, 4.6,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4.7,4.9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4948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Спорт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спортивных баз и лагерей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Связь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CA3C07">
                <w:rPr>
                  <w:rFonts w:ascii="Times New Roman" w:hAnsi="Times New Roman" w:cs="Times New Roman"/>
                  <w:color w:val="000000"/>
                  <w:szCs w:val="24"/>
                </w:rPr>
                <w:t>кодом 3.1</w:t>
              </w:r>
            </w:hyperlink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6.8</w:t>
            </w:r>
          </w:p>
        </w:tc>
      </w:tr>
    </w:tbl>
    <w:p w:rsidR="00A27BBD" w:rsidRDefault="00A27BBD" w:rsidP="00A27BBD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Pr="00434BDB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4, 5, 7, 8, 9, 10, 11, 12.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Pr="003D57BA"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6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 «</w:t>
      </w:r>
      <w:r w:rsidRPr="00434BDB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 и 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Градостроительные регламенты жилых зон в части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предельных параметров разрешенного строительства, реконструкции объектов капитального строительства</w:t>
      </w:r>
    </w:p>
    <w:p w:rsidR="00A27BBD" w:rsidRDefault="00A27BBD" w:rsidP="00A27BBD">
      <w:pPr>
        <w:spacing w:line="240" w:lineRule="auto"/>
        <w:ind w:firstLine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051"/>
        <w:gridCol w:w="5055"/>
      </w:tblGrid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51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055" w:type="dxa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зоны</w:t>
            </w:r>
          </w:p>
        </w:tc>
      </w:tr>
      <w:tr w:rsidR="00A27BBD" w:rsidRPr="00CA3C07" w:rsidTr="002A77DA">
        <w:tc>
          <w:tcPr>
            <w:tcW w:w="599" w:type="dxa"/>
            <w:vMerge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Ж-1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9016B3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площадь участка (</w:t>
            </w:r>
            <w:proofErr w:type="spellStart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кв.м</w:t>
            </w:r>
            <w:proofErr w:type="spellEnd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.):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600/30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900/10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450/16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НР/3000</w:t>
            </w:r>
          </w:p>
        </w:tc>
      </w:tr>
      <w:tr w:rsidR="00A27BBD" w:rsidRPr="00CA3C07" w:rsidTr="002A77DA">
        <w:trPr>
          <w:trHeight w:val="199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3000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 xml:space="preserve">определяются проектом планировки, проектом межевания согласно техническим регламентам (а </w:t>
            </w: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051" w:type="dxa"/>
          </w:tcPr>
          <w:p w:rsidR="00A27BBD" w:rsidRPr="009016B3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ширина участка по уличному фронту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20/5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051" w:type="dxa"/>
          </w:tcPr>
          <w:p w:rsidR="00A27BBD" w:rsidRPr="00044B0C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44B0C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длина (глубина) участка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 xml:space="preserve"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</w:t>
            </w: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051" w:type="dxa"/>
          </w:tcPr>
          <w:p w:rsidR="00A27BBD" w:rsidRPr="00EB78B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B78B9">
              <w:rPr>
                <w:rFonts w:ascii="Times New Roman" w:hAnsi="Times New Roman" w:cs="Times New Roman"/>
                <w:b/>
                <w:color w:val="000000"/>
                <w:szCs w:val="24"/>
              </w:rPr>
              <w:t>Расстояние до красной линии улиц, не менее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051" w:type="dxa"/>
          </w:tcPr>
          <w:p w:rsidR="00A27BBD" w:rsidRPr="0058729C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8729C">
              <w:rPr>
                <w:rFonts w:ascii="Times New Roman" w:hAnsi="Times New Roman" w:cs="Times New Roman"/>
                <w:b/>
                <w:color w:val="000000"/>
                <w:szCs w:val="24"/>
              </w:rPr>
              <w:t>Отступы от красной линии для объектов капитального строительства существующей застройки</w:t>
            </w:r>
          </w:p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 соответствии со сложившейся линией застройки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051" w:type="dxa"/>
          </w:tcPr>
          <w:p w:rsidR="00A27BBD" w:rsidRPr="00E27D84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Максимальный процент застройки, %: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051" w:type="dxa"/>
          </w:tcPr>
          <w:p w:rsidR="00A27BBD" w:rsidRPr="00CC6FE2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C6FE2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Максимальное количество этажей: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051" w:type="dxa"/>
          </w:tcPr>
          <w:p w:rsidR="00A27BBD" w:rsidRPr="00F84EFB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Максимальная высота ограждения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по уличному фронту</w:t>
            </w: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, м: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051" w:type="dxa"/>
          </w:tcPr>
          <w:p w:rsidR="00A27BBD" w:rsidRPr="00F434F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Минимальный отступ стен зданий с окнами из жилых помещений от границ соседних участков, м: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A27BBD" w:rsidRDefault="00A27BBD" w:rsidP="00A27BBD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A27BBD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НР – не регламентирован.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Расстояния между жилыми и общественными, а также производственными зданиям</w:t>
      </w:r>
      <w:r>
        <w:rPr>
          <w:rFonts w:ascii="Times New Roman" w:hAnsi="Times New Roman" w:cs="Times New Roman"/>
          <w:color w:val="000000"/>
          <w:sz w:val="24"/>
        </w:rPr>
        <w:t xml:space="preserve">и следует принимать на </w:t>
      </w:r>
      <w:r w:rsidRPr="00E55571">
        <w:rPr>
          <w:rFonts w:ascii="Times New Roman" w:hAnsi="Times New Roman" w:cs="Times New Roman"/>
          <w:color w:val="000000"/>
          <w:sz w:val="24"/>
        </w:rPr>
        <w:t>основе расчетов инсоляции и освещенности в соответствии с нормами инсоляции, нормами освещенности, а также в соответствии с противопожарными требованиями</w:t>
      </w:r>
      <w:r w:rsidRPr="00E55571">
        <w:rPr>
          <w:rFonts w:ascii="Times New Roman" w:hAnsi="Times New Roman" w:cs="Times New Roman"/>
          <w:color w:val="000000"/>
          <w:sz w:val="24"/>
          <w:shd w:val="clear" w:color="auto" w:fill="F6F6F6"/>
        </w:rPr>
        <w:t>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До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границы соседнего </w:t>
      </w:r>
      <w:proofErr w:type="spell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приквартирного</w:t>
      </w:r>
      <w:proofErr w:type="spellEnd"/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участка расстояния по санитарно-бытовым и зооветеринарным требованиям должны быть не менее: </w:t>
      </w:r>
    </w:p>
    <w:p w:rsidR="00A27BBD" w:rsidRPr="00E55571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усадебного, одно-двухквартирного дома – </w:t>
      </w:r>
      <w:smartTag w:uri="urn:schemas-microsoft-com:office:smarttags" w:element="metricconverter">
        <w:smartTagPr>
          <w:attr w:name="ProductID" w:val="3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3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;</w:t>
      </w:r>
    </w:p>
    <w:p w:rsidR="00A27BBD" w:rsidRPr="00E55571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4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A27BBD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1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043D2C" w:rsidRPr="005E5A36" w:rsidRDefault="00A27BBD" w:rsidP="00A27B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На территориях с застройкой усадебными одно-, двухквартирными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6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. 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их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приквартирных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 xml:space="preserve"> участков. 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>Допускается блокировка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  <w:r>
        <w:rPr>
          <w:rFonts w:ascii="Times New Roman" w:hAnsi="Times New Roman" w:cs="Times New Roman"/>
          <w:color w:val="000000"/>
          <w:spacing w:val="-1"/>
          <w:sz w:val="24"/>
        </w:rPr>
        <w:t>».</w:t>
      </w:r>
    </w:p>
    <w:sectPr w:rsidR="00043D2C" w:rsidRPr="005E5A36" w:rsidSect="00E37C38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0CB"/>
    <w:rsid w:val="00022E01"/>
    <w:rsid w:val="00030736"/>
    <w:rsid w:val="00043D2C"/>
    <w:rsid w:val="00044B0C"/>
    <w:rsid w:val="000676C2"/>
    <w:rsid w:val="00091ECD"/>
    <w:rsid w:val="000A1905"/>
    <w:rsid w:val="000F53BF"/>
    <w:rsid w:val="00125C6E"/>
    <w:rsid w:val="00183C81"/>
    <w:rsid w:val="0023075C"/>
    <w:rsid w:val="00256534"/>
    <w:rsid w:val="00263238"/>
    <w:rsid w:val="00295FE5"/>
    <w:rsid w:val="002A0510"/>
    <w:rsid w:val="002F2728"/>
    <w:rsid w:val="002F409B"/>
    <w:rsid w:val="002F73EE"/>
    <w:rsid w:val="00300A6D"/>
    <w:rsid w:val="0032464F"/>
    <w:rsid w:val="00341619"/>
    <w:rsid w:val="00367554"/>
    <w:rsid w:val="00381CFB"/>
    <w:rsid w:val="003D57BA"/>
    <w:rsid w:val="003E4582"/>
    <w:rsid w:val="004436B9"/>
    <w:rsid w:val="00476534"/>
    <w:rsid w:val="004A3431"/>
    <w:rsid w:val="004B1B8A"/>
    <w:rsid w:val="004D7E70"/>
    <w:rsid w:val="004E523C"/>
    <w:rsid w:val="004F16B0"/>
    <w:rsid w:val="004F75B7"/>
    <w:rsid w:val="0051057F"/>
    <w:rsid w:val="0051391E"/>
    <w:rsid w:val="0058729C"/>
    <w:rsid w:val="005A2FF2"/>
    <w:rsid w:val="005E5A36"/>
    <w:rsid w:val="005F1E0D"/>
    <w:rsid w:val="00612C91"/>
    <w:rsid w:val="006451DB"/>
    <w:rsid w:val="006518E7"/>
    <w:rsid w:val="006541F2"/>
    <w:rsid w:val="00667A29"/>
    <w:rsid w:val="006871E3"/>
    <w:rsid w:val="006A2A41"/>
    <w:rsid w:val="006A378E"/>
    <w:rsid w:val="006B3DA8"/>
    <w:rsid w:val="006C7355"/>
    <w:rsid w:val="00717D1A"/>
    <w:rsid w:val="00752476"/>
    <w:rsid w:val="007806F4"/>
    <w:rsid w:val="007D305E"/>
    <w:rsid w:val="0080056F"/>
    <w:rsid w:val="008032B0"/>
    <w:rsid w:val="00830C77"/>
    <w:rsid w:val="008432DF"/>
    <w:rsid w:val="0085454D"/>
    <w:rsid w:val="00897819"/>
    <w:rsid w:val="008B2D2D"/>
    <w:rsid w:val="008E35EF"/>
    <w:rsid w:val="009016B3"/>
    <w:rsid w:val="00923DE1"/>
    <w:rsid w:val="0094531F"/>
    <w:rsid w:val="00950457"/>
    <w:rsid w:val="0095272B"/>
    <w:rsid w:val="009D2AAC"/>
    <w:rsid w:val="009E0393"/>
    <w:rsid w:val="00A20CD8"/>
    <w:rsid w:val="00A27BBD"/>
    <w:rsid w:val="00A5481B"/>
    <w:rsid w:val="00A840C2"/>
    <w:rsid w:val="00B073D6"/>
    <w:rsid w:val="00B14961"/>
    <w:rsid w:val="00B34DAE"/>
    <w:rsid w:val="00B66966"/>
    <w:rsid w:val="00B83B6D"/>
    <w:rsid w:val="00BA07C4"/>
    <w:rsid w:val="00C055F1"/>
    <w:rsid w:val="00C51C5C"/>
    <w:rsid w:val="00C66219"/>
    <w:rsid w:val="00C93C53"/>
    <w:rsid w:val="00C960CB"/>
    <w:rsid w:val="00CB7E3B"/>
    <w:rsid w:val="00CC36E2"/>
    <w:rsid w:val="00CC6FE2"/>
    <w:rsid w:val="00CD4CF2"/>
    <w:rsid w:val="00CF157B"/>
    <w:rsid w:val="00D03A6C"/>
    <w:rsid w:val="00D44760"/>
    <w:rsid w:val="00D773E5"/>
    <w:rsid w:val="00DA7B11"/>
    <w:rsid w:val="00DC199D"/>
    <w:rsid w:val="00DE6682"/>
    <w:rsid w:val="00E27D84"/>
    <w:rsid w:val="00E37C38"/>
    <w:rsid w:val="00E92448"/>
    <w:rsid w:val="00EB0A95"/>
    <w:rsid w:val="00EB78B9"/>
    <w:rsid w:val="00F032AE"/>
    <w:rsid w:val="00F10C04"/>
    <w:rsid w:val="00F2070C"/>
    <w:rsid w:val="00F25B35"/>
    <w:rsid w:val="00F434F7"/>
    <w:rsid w:val="00F53B9F"/>
    <w:rsid w:val="00F608F0"/>
    <w:rsid w:val="00F77EC1"/>
    <w:rsid w:val="00F84DB9"/>
    <w:rsid w:val="00F84EFB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BD9DD6-7661-41D0-81D7-EC05E97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77"/>
  </w:style>
  <w:style w:type="paragraph" w:styleId="4">
    <w:name w:val="heading 4"/>
    <w:basedOn w:val="a"/>
    <w:next w:val="a"/>
    <w:link w:val="40"/>
    <w:qFormat/>
    <w:rsid w:val="00C960C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960CB"/>
    <w:pPr>
      <w:keepNext/>
      <w:numPr>
        <w:ilvl w:val="4"/>
        <w:numId w:val="1"/>
      </w:numPr>
      <w:suppressAutoHyphens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60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960C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Title">
    <w:name w:val="ConsPlusTitle"/>
    <w:uiPriority w:val="99"/>
    <w:rsid w:val="00C9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DB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B7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44DB-2C25-48BA-91BC-6F8EE71F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4474</TotalTime>
  <Pages>7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3</cp:lastModifiedBy>
  <cp:revision>78</cp:revision>
  <cp:lastPrinted>2020-08-21T11:46:00Z</cp:lastPrinted>
  <dcterms:created xsi:type="dcterms:W3CDTF">2018-07-17T13:37:00Z</dcterms:created>
  <dcterms:modified xsi:type="dcterms:W3CDTF">2020-10-14T04:33:00Z</dcterms:modified>
</cp:coreProperties>
</file>